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auto"/>
          <w:spacing w:val="15"/>
          <w:sz w:val="32"/>
          <w:szCs w:val="32"/>
          <w:highlight w:val="none"/>
        </w:rPr>
      </w:pPr>
    </w:p>
    <w:p>
      <w:pPr>
        <w:spacing w:line="560" w:lineRule="exact"/>
        <w:jc w:val="center"/>
        <w:rPr>
          <w:rFonts w:ascii="方正小标宋简体" w:hAnsi="方正小标宋简体" w:eastAsia="方正小标宋简体" w:cs="方正小标宋简体"/>
          <w:color w:val="auto"/>
          <w:spacing w:val="15"/>
          <w:sz w:val="44"/>
          <w:szCs w:val="44"/>
          <w:highlight w:val="none"/>
        </w:rPr>
      </w:pPr>
    </w:p>
    <w:p>
      <w:pPr>
        <w:spacing w:line="560" w:lineRule="exact"/>
        <w:jc w:val="center"/>
        <w:rPr>
          <w:rFonts w:ascii="方正小标宋简体" w:hAnsi="方正小标宋简体" w:eastAsia="方正小标宋简体" w:cs="方正小标宋简体"/>
          <w:bCs/>
          <w:color w:val="auto"/>
          <w:spacing w:val="15"/>
          <w:sz w:val="44"/>
          <w:szCs w:val="44"/>
          <w:highlight w:val="none"/>
        </w:rPr>
      </w:pPr>
    </w:p>
    <w:p>
      <w:pPr>
        <w:spacing w:line="560" w:lineRule="exact"/>
        <w:jc w:val="center"/>
        <w:rPr>
          <w:rFonts w:ascii="方正小标宋简体" w:hAnsi="方正小标宋简体" w:eastAsia="方正小标宋简体" w:cs="方正小标宋简体"/>
          <w:bCs/>
          <w:color w:val="auto"/>
          <w:spacing w:val="15"/>
          <w:sz w:val="44"/>
          <w:szCs w:val="44"/>
          <w:highlight w:val="none"/>
        </w:rPr>
      </w:pPr>
    </w:p>
    <w:p>
      <w:pPr>
        <w:spacing w:line="560" w:lineRule="exact"/>
        <w:jc w:val="center"/>
        <w:rPr>
          <w:rFonts w:ascii="方正小标宋简体" w:hAnsi="方正小标宋简体" w:eastAsia="方正小标宋简体" w:cs="方正小标宋简体"/>
          <w:bCs/>
          <w:color w:val="auto"/>
          <w:spacing w:val="15"/>
          <w:sz w:val="44"/>
          <w:szCs w:val="44"/>
          <w:highlight w:val="none"/>
        </w:rPr>
      </w:pPr>
    </w:p>
    <w:p>
      <w:pPr>
        <w:spacing w:line="560" w:lineRule="exact"/>
        <w:jc w:val="center"/>
        <w:rPr>
          <w:rFonts w:ascii="方正小标宋简体" w:hAnsi="方正小标宋简体" w:eastAsia="方正小标宋简体" w:cs="方正小标宋简体"/>
          <w:bCs/>
          <w:color w:val="auto"/>
          <w:spacing w:val="15"/>
          <w:sz w:val="44"/>
          <w:szCs w:val="44"/>
          <w:highlight w:val="none"/>
        </w:rPr>
      </w:pPr>
    </w:p>
    <w:p>
      <w:pPr>
        <w:spacing w:line="560" w:lineRule="exact"/>
        <w:jc w:val="center"/>
        <w:rPr>
          <w:rFonts w:ascii="方正小标宋简体" w:hAnsi="方正小标宋简体" w:eastAsia="方正小标宋简体" w:cs="方正小标宋简体"/>
          <w:bCs/>
          <w:color w:val="auto"/>
          <w:spacing w:val="15"/>
          <w:sz w:val="44"/>
          <w:szCs w:val="44"/>
          <w:highlight w:val="none"/>
        </w:rPr>
      </w:pPr>
    </w:p>
    <w:p>
      <w:pPr>
        <w:spacing w:line="560" w:lineRule="exact"/>
        <w:jc w:val="center"/>
        <w:rPr>
          <w:rFonts w:ascii="方正小标宋简体" w:hAnsi="方正小标宋简体" w:eastAsia="方正小标宋简体" w:cs="方正小标宋简体"/>
          <w:bCs/>
          <w:color w:val="auto"/>
          <w:spacing w:val="15"/>
          <w:sz w:val="44"/>
          <w:szCs w:val="44"/>
          <w:highlight w:val="none"/>
        </w:rPr>
      </w:pPr>
    </w:p>
    <w:p>
      <w:pPr>
        <w:spacing w:line="560" w:lineRule="exact"/>
        <w:jc w:val="center"/>
        <w:rPr>
          <w:rFonts w:ascii="方正小标宋简体" w:hAnsi="方正小标宋简体" w:eastAsia="方正小标宋简体" w:cs="方正小标宋简体"/>
          <w:bCs/>
          <w:color w:val="auto"/>
          <w:spacing w:val="15"/>
          <w:sz w:val="44"/>
          <w:szCs w:val="44"/>
          <w:highlight w:val="none"/>
        </w:rPr>
      </w:pPr>
    </w:p>
    <w:p>
      <w:pPr>
        <w:spacing w:line="560" w:lineRule="exact"/>
        <w:jc w:val="center"/>
        <w:rPr>
          <w:rFonts w:ascii="方正小标宋简体" w:hAnsi="方正小标宋简体" w:eastAsia="方正小标宋简体" w:cs="方正小标宋简体"/>
          <w:bCs/>
          <w:color w:val="auto"/>
          <w:spacing w:val="15"/>
          <w:sz w:val="44"/>
          <w:szCs w:val="44"/>
          <w:highlight w:val="none"/>
        </w:rPr>
      </w:pPr>
      <w:r>
        <w:rPr>
          <w:rFonts w:ascii="方正小标宋简体" w:hAnsi="方正小标宋简体" w:eastAsia="方正小标宋简体" w:cs="方正小标宋简体"/>
          <w:bCs/>
          <w:color w:val="auto"/>
          <w:spacing w:val="15"/>
          <w:sz w:val="44"/>
          <w:szCs w:val="44"/>
          <w:highlight w:val="none"/>
        </w:rPr>
        <w:t>丽水仲裁委员会秘书处</w:t>
      </w:r>
      <w:r>
        <w:rPr>
          <w:rFonts w:hint="eastAsia" w:ascii="方正小标宋简体" w:hAnsi="方正小标宋简体" w:eastAsia="方正小标宋简体" w:cs="方正小标宋简体"/>
          <w:bCs/>
          <w:color w:val="auto"/>
          <w:spacing w:val="15"/>
          <w:sz w:val="44"/>
          <w:szCs w:val="44"/>
          <w:highlight w:val="none"/>
        </w:rPr>
        <w:t>2024年单位预算</w:t>
      </w:r>
    </w:p>
    <w:p>
      <w:pPr>
        <w:spacing w:line="560" w:lineRule="exact"/>
        <w:ind w:firstLine="590" w:firstLineChars="196"/>
        <w:rPr>
          <w:rStyle w:val="10"/>
          <w:color w:val="auto"/>
          <w:sz w:val="30"/>
          <w:szCs w:val="30"/>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p>
    <w:p>
      <w:pPr>
        <w:spacing w:line="520" w:lineRule="exact"/>
        <w:rPr>
          <w:rStyle w:val="10"/>
          <w:rFonts w:ascii="黑体" w:eastAsia="黑体"/>
          <w:b w:val="0"/>
          <w:color w:val="auto"/>
          <w:sz w:val="32"/>
          <w:szCs w:val="32"/>
          <w:highlight w:val="none"/>
        </w:rPr>
      </w:pPr>
    </w:p>
    <w:p>
      <w:pPr>
        <w:spacing w:line="520" w:lineRule="exact"/>
        <w:ind w:firstLine="627" w:firstLineChars="196"/>
        <w:jc w:val="center"/>
        <w:rPr>
          <w:rStyle w:val="10"/>
          <w:rFonts w:ascii="黑体" w:eastAsia="黑体"/>
          <w:b w:val="0"/>
          <w:color w:val="auto"/>
          <w:sz w:val="32"/>
          <w:szCs w:val="32"/>
          <w:highlight w:val="none"/>
        </w:rPr>
      </w:pPr>
      <w:r>
        <w:rPr>
          <w:rStyle w:val="10"/>
          <w:rFonts w:hint="eastAsia" w:ascii="黑体" w:eastAsia="黑体"/>
          <w:b w:val="0"/>
          <w:color w:val="auto"/>
          <w:sz w:val="32"/>
          <w:szCs w:val="32"/>
          <w:highlight w:val="none"/>
        </w:rPr>
        <w:t>目录</w:t>
      </w:r>
    </w:p>
    <w:p>
      <w:pPr>
        <w:spacing w:line="520" w:lineRule="exact"/>
        <w:rPr>
          <w:rFonts w:eastAsia="黑体"/>
          <w:color w:val="auto"/>
          <w:sz w:val="32"/>
          <w:highlight w:val="none"/>
        </w:rPr>
      </w:pPr>
      <w:r>
        <w:rPr>
          <w:rFonts w:hint="eastAsia" w:ascii="黑体" w:eastAsia="黑体"/>
          <w:color w:val="auto"/>
          <w:sz w:val="32"/>
          <w:highlight w:val="none"/>
        </w:rPr>
        <w:t>一、单位</w:t>
      </w:r>
      <w:r>
        <w:rPr>
          <w:rStyle w:val="10"/>
          <w:rFonts w:hint="eastAsia" w:ascii="黑体" w:eastAsia="黑体"/>
          <w:b w:val="0"/>
          <w:color w:val="auto"/>
          <w:sz w:val="32"/>
          <w:szCs w:val="32"/>
          <w:highlight w:val="none"/>
        </w:rPr>
        <w:t>概况</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（一）主要职能</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（二）单位机构设置情况</w:t>
      </w:r>
    </w:p>
    <w:p>
      <w:pPr>
        <w:spacing w:line="520" w:lineRule="exact"/>
        <w:rPr>
          <w:rStyle w:val="10"/>
          <w:rFonts w:ascii="黑体" w:eastAsia="黑体"/>
          <w:b w:val="0"/>
          <w:color w:val="auto"/>
          <w:sz w:val="32"/>
          <w:szCs w:val="32"/>
          <w:highlight w:val="none"/>
        </w:rPr>
      </w:pPr>
      <w:r>
        <w:rPr>
          <w:rStyle w:val="10"/>
          <w:rFonts w:hint="eastAsia" w:ascii="黑体" w:eastAsia="黑体"/>
          <w:b w:val="0"/>
          <w:color w:val="auto"/>
          <w:sz w:val="32"/>
          <w:szCs w:val="32"/>
          <w:highlight w:val="none"/>
        </w:rPr>
        <w:t>二、2024年丽水仲裁委员会秘书处单位预算安排情况说明</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（一）关于丽水仲裁委员会秘书处2024年收支预算情况的总体说明</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（二）关于丽水仲裁委员会秘书处2024年收入预算情况说明</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（三）关于丽水仲裁委员会秘书处2024年支出预算情况说明</w:t>
      </w:r>
      <w:r>
        <w:rPr>
          <w:rFonts w:hint="eastAsia" w:ascii="楷体_GB2312" w:hAnsi="楷体_GB2312" w:eastAsia="楷体_GB2312" w:cs="楷体_GB2312"/>
          <w:bCs/>
          <w:color w:val="auto"/>
          <w:sz w:val="32"/>
          <w:szCs w:val="32"/>
          <w:highlight w:val="none"/>
        </w:rPr>
        <w:br w:type="textWrapping"/>
      </w:r>
      <w:r>
        <w:rPr>
          <w:rFonts w:hint="eastAsia" w:ascii="楷体_GB2312" w:hAnsi="楷体_GB2312" w:eastAsia="楷体_GB2312" w:cs="楷体_GB2312"/>
          <w:bCs/>
          <w:color w:val="auto"/>
          <w:sz w:val="32"/>
          <w:szCs w:val="32"/>
          <w:highlight w:val="none"/>
        </w:rPr>
        <w:t>（四）关于丽水仲裁委员会秘书处2024年财政拨款收支预算情况的总体说明</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（五）关于丽水仲裁委员会秘书处2024年一般公共预算拨款情况说明</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（六）关于丽水仲裁委员会秘书处2024年一般公共预算基本支出情况说明</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（七）关于丽水仲裁委员会秘书处2024年政府性基金预算支出情况说明</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（八）关于丽水仲裁委员会秘书处2024年国有资本经营预算支出情况说明</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（九）关于丽水仲裁委员会秘书处2024年一般公共预算“三公”经费预算情况说明</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（十）其他重要事项的情况说明</w:t>
      </w:r>
    </w:p>
    <w:p>
      <w:pPr>
        <w:pStyle w:val="15"/>
        <w:spacing w:line="520" w:lineRule="exact"/>
        <w:rPr>
          <w:rStyle w:val="10"/>
          <w:rFonts w:ascii="黑体" w:hAnsi="Calibri" w:eastAsia="黑体"/>
          <w:b w:val="0"/>
          <w:color w:val="auto"/>
          <w:kern w:val="2"/>
          <w:sz w:val="32"/>
          <w:szCs w:val="32"/>
          <w:highlight w:val="none"/>
        </w:rPr>
      </w:pPr>
      <w:r>
        <w:rPr>
          <w:rStyle w:val="10"/>
          <w:rFonts w:hint="eastAsia" w:ascii="黑体" w:hAnsi="Calibri" w:eastAsia="黑体"/>
          <w:b w:val="0"/>
          <w:color w:val="auto"/>
          <w:kern w:val="2"/>
          <w:sz w:val="32"/>
          <w:szCs w:val="32"/>
          <w:highlight w:val="none"/>
        </w:rPr>
        <w:t>三、名词解释</w:t>
      </w:r>
    </w:p>
    <w:p>
      <w:pPr>
        <w:spacing w:line="520" w:lineRule="exact"/>
        <w:rPr>
          <w:rStyle w:val="10"/>
          <w:rFonts w:ascii="黑体" w:eastAsia="黑体"/>
          <w:b w:val="0"/>
          <w:color w:val="auto"/>
          <w:sz w:val="32"/>
          <w:szCs w:val="32"/>
          <w:highlight w:val="none"/>
        </w:rPr>
      </w:pPr>
      <w:r>
        <w:rPr>
          <w:rStyle w:val="10"/>
          <w:rFonts w:hint="eastAsia" w:ascii="黑体" w:eastAsia="黑体"/>
          <w:b w:val="0"/>
          <w:color w:val="auto"/>
          <w:sz w:val="32"/>
          <w:szCs w:val="32"/>
          <w:highlight w:val="none"/>
        </w:rPr>
        <w:t>四、2024年丽水仲裁委员会秘书处单位预算表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（一）2024年单位收支预算总表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（二）2024年单位收入预算总表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（三）2024年单位支出预算总表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（四）2024年单位财政拨款收支预算总表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（五）2024年单位一般公共预算支出表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（六）2024年单位一般公共预算基本支出表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（八）2024年单位政府性基金预算支出表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（九）2024年单位国有资本经营预算支出表</w:t>
      </w:r>
    </w:p>
    <w:p>
      <w:pPr>
        <w:autoSpaceDE w:val="0"/>
        <w:autoSpaceDN w:val="0"/>
        <w:adjustRightInd w:val="0"/>
        <w:ind w:left="420" w:left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（十）2024年单位项目支出预算表</w:t>
      </w:r>
    </w:p>
    <w:p>
      <w:pPr>
        <w:autoSpaceDE w:val="0"/>
        <w:autoSpaceDN w:val="0"/>
        <w:adjustRightInd w:val="0"/>
        <w:ind w:left="420" w:leftChars="200"/>
        <w:jc w:val="left"/>
        <w:rPr>
          <w:rStyle w:val="10"/>
          <w:rFonts w:ascii="楷体_GB2312" w:hAnsi="楷体_GB2312" w:eastAsia="楷体_GB2312" w:cs="楷体_GB2312"/>
          <w:b w:val="0"/>
          <w:color w:val="auto"/>
          <w:sz w:val="32"/>
          <w:szCs w:val="32"/>
          <w:highlight w:val="none"/>
        </w:rPr>
      </w:pPr>
      <w:r>
        <w:rPr>
          <w:rFonts w:hint="eastAsia" w:ascii="楷体_GB2312" w:hAnsi="楷体_GB2312" w:eastAsia="楷体_GB2312" w:cs="楷体_GB2312"/>
          <w:bCs/>
          <w:color w:val="auto"/>
          <w:sz w:val="32"/>
          <w:szCs w:val="32"/>
          <w:highlight w:val="none"/>
        </w:rPr>
        <w:t>（十一）2024年单位项目支出绩效表</w:t>
      </w:r>
    </w:p>
    <w:p>
      <w:pPr>
        <w:pStyle w:val="2"/>
        <w:rPr>
          <w:rStyle w:val="10"/>
          <w:rFonts w:hint="default" w:ascii="黑体" w:eastAsia="黑体"/>
          <w:b w:val="0"/>
          <w:color w:val="auto"/>
          <w:sz w:val="32"/>
          <w:szCs w:val="32"/>
          <w:highlight w:val="none"/>
        </w:rPr>
      </w:pPr>
    </w:p>
    <w:p>
      <w:pPr>
        <w:pStyle w:val="2"/>
        <w:rPr>
          <w:rStyle w:val="10"/>
          <w:rFonts w:hint="default" w:ascii="黑体" w:eastAsia="黑体"/>
          <w:b w:val="0"/>
          <w:color w:val="auto"/>
          <w:sz w:val="32"/>
          <w:szCs w:val="32"/>
          <w:highlight w:val="none"/>
        </w:rPr>
      </w:pPr>
    </w:p>
    <w:p>
      <w:pPr>
        <w:pStyle w:val="2"/>
        <w:rPr>
          <w:rStyle w:val="10"/>
          <w:rFonts w:hint="default" w:ascii="黑体" w:eastAsia="黑体"/>
          <w:b w:val="0"/>
          <w:color w:val="auto"/>
          <w:sz w:val="32"/>
          <w:szCs w:val="32"/>
          <w:highlight w:val="none"/>
        </w:rPr>
      </w:pPr>
    </w:p>
    <w:p>
      <w:pPr>
        <w:pStyle w:val="2"/>
        <w:rPr>
          <w:rStyle w:val="10"/>
          <w:rFonts w:hint="default" w:ascii="黑体" w:eastAsia="黑体"/>
          <w:b w:val="0"/>
          <w:color w:val="auto"/>
          <w:sz w:val="32"/>
          <w:szCs w:val="32"/>
          <w:highlight w:val="none"/>
        </w:rPr>
      </w:pPr>
    </w:p>
    <w:p>
      <w:pPr>
        <w:pStyle w:val="2"/>
        <w:rPr>
          <w:rStyle w:val="10"/>
          <w:rFonts w:hint="default" w:ascii="黑体" w:eastAsia="黑体"/>
          <w:b w:val="0"/>
          <w:color w:val="auto"/>
          <w:sz w:val="32"/>
          <w:szCs w:val="32"/>
          <w:highlight w:val="none"/>
        </w:rPr>
      </w:pPr>
    </w:p>
    <w:p>
      <w:pPr>
        <w:pStyle w:val="2"/>
        <w:rPr>
          <w:rStyle w:val="10"/>
          <w:rFonts w:hint="default" w:ascii="黑体" w:eastAsia="黑体"/>
          <w:b w:val="0"/>
          <w:color w:val="auto"/>
          <w:sz w:val="32"/>
          <w:szCs w:val="32"/>
          <w:highlight w:val="none"/>
        </w:rPr>
      </w:pPr>
    </w:p>
    <w:p>
      <w:pPr>
        <w:pStyle w:val="2"/>
        <w:rPr>
          <w:rStyle w:val="10"/>
          <w:rFonts w:hint="default" w:ascii="黑体" w:eastAsia="黑体"/>
          <w:b w:val="0"/>
          <w:color w:val="auto"/>
          <w:sz w:val="32"/>
          <w:szCs w:val="32"/>
          <w:highlight w:val="none"/>
        </w:rPr>
      </w:pPr>
    </w:p>
    <w:p>
      <w:pPr>
        <w:pStyle w:val="2"/>
        <w:rPr>
          <w:rStyle w:val="10"/>
          <w:rFonts w:hint="default" w:ascii="黑体" w:eastAsia="黑体"/>
          <w:b w:val="0"/>
          <w:color w:val="auto"/>
          <w:sz w:val="32"/>
          <w:szCs w:val="32"/>
          <w:highlight w:val="none"/>
        </w:rPr>
      </w:pPr>
    </w:p>
    <w:p>
      <w:pPr>
        <w:spacing w:line="520" w:lineRule="exact"/>
        <w:ind w:firstLine="627" w:firstLineChars="196"/>
        <w:rPr>
          <w:rStyle w:val="10"/>
          <w:rFonts w:ascii="黑体" w:eastAsia="黑体"/>
          <w:b w:val="0"/>
          <w:color w:val="auto"/>
          <w:sz w:val="32"/>
          <w:szCs w:val="32"/>
          <w:highlight w:val="none"/>
        </w:rPr>
      </w:pPr>
      <w:r>
        <w:rPr>
          <w:rStyle w:val="10"/>
          <w:rFonts w:hint="eastAsia" w:ascii="黑体" w:eastAsia="黑体"/>
          <w:b w:val="0"/>
          <w:color w:val="auto"/>
          <w:sz w:val="32"/>
          <w:szCs w:val="32"/>
          <w:highlight w:val="none"/>
        </w:rPr>
        <w:t>一、单位概况</w:t>
      </w:r>
    </w:p>
    <w:p>
      <w:pPr>
        <w:spacing w:line="520" w:lineRule="exact"/>
        <w:ind w:firstLine="627" w:firstLineChars="196"/>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（一）主要职能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Times New Roman" w:eastAsia="仿宋_GB2312" w:cs="Times New Roman"/>
          <w:bCs/>
          <w:color w:val="auto"/>
          <w:kern w:val="2"/>
          <w:sz w:val="32"/>
          <w:szCs w:val="32"/>
          <w:highlight w:val="none"/>
          <w:lang w:val="en-US" w:eastAsia="zh-CN" w:bidi="ar-SA"/>
        </w:rPr>
      </w:pPr>
      <w:r>
        <w:rPr>
          <w:rFonts w:hint="eastAsia" w:ascii="仿宋_GB2312" w:hAnsi="Times New Roman" w:eastAsia="仿宋_GB2312" w:cs="Times New Roman"/>
          <w:bCs/>
          <w:color w:val="auto"/>
          <w:kern w:val="2"/>
          <w:sz w:val="32"/>
          <w:szCs w:val="32"/>
          <w:highlight w:val="none"/>
          <w:lang w:val="en-US" w:eastAsia="zh-CN" w:bidi="ar-SA"/>
        </w:rPr>
        <w:t>1.负责在本区域推行仲裁法律制度，拟订仲裁发展规划并组织实施。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Times New Roman" w:eastAsia="仿宋_GB2312" w:cs="Times New Roman"/>
          <w:bCs/>
          <w:color w:val="auto"/>
          <w:kern w:val="2"/>
          <w:sz w:val="32"/>
          <w:szCs w:val="32"/>
          <w:highlight w:val="none"/>
          <w:lang w:val="en-US" w:eastAsia="zh-CN" w:bidi="ar-SA"/>
        </w:rPr>
      </w:pPr>
      <w:r>
        <w:rPr>
          <w:rFonts w:hint="eastAsia" w:ascii="仿宋_GB2312" w:hAnsi="Times New Roman" w:eastAsia="仿宋_GB2312" w:cs="Times New Roman"/>
          <w:bCs/>
          <w:color w:val="auto"/>
          <w:kern w:val="2"/>
          <w:sz w:val="32"/>
          <w:szCs w:val="32"/>
          <w:highlight w:val="none"/>
          <w:lang w:val="en-US" w:eastAsia="zh-CN" w:bidi="ar-SA"/>
        </w:rPr>
        <w:t>2.围绕丽水市仲裁委的任务要求，承担仲裁委员会换届、仲裁规则修订等工作的协调服务。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Times New Roman" w:eastAsia="仿宋_GB2312" w:cs="Times New Roman"/>
          <w:bCs/>
          <w:color w:val="auto"/>
          <w:kern w:val="2"/>
          <w:sz w:val="32"/>
          <w:szCs w:val="32"/>
          <w:highlight w:val="none"/>
          <w:lang w:val="en-US" w:eastAsia="zh-CN" w:bidi="ar-SA"/>
        </w:rPr>
      </w:pPr>
      <w:r>
        <w:rPr>
          <w:rFonts w:hint="eastAsia" w:ascii="仿宋_GB2312" w:hAnsi="Times New Roman" w:eastAsia="仿宋_GB2312" w:cs="Times New Roman"/>
          <w:bCs/>
          <w:color w:val="auto"/>
          <w:kern w:val="2"/>
          <w:sz w:val="32"/>
          <w:szCs w:val="32"/>
          <w:highlight w:val="none"/>
          <w:lang w:val="en-US" w:eastAsia="zh-CN" w:bidi="ar-SA"/>
        </w:rPr>
        <w:t>3.负责仲裁庭案件审理的组织、协调与服务。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Times New Roman" w:eastAsia="仿宋_GB2312" w:cs="Times New Roman"/>
          <w:bCs/>
          <w:color w:val="auto"/>
          <w:kern w:val="2"/>
          <w:sz w:val="32"/>
          <w:szCs w:val="32"/>
          <w:highlight w:val="none"/>
          <w:lang w:val="en-US" w:eastAsia="zh-CN" w:bidi="ar-SA"/>
        </w:rPr>
      </w:pPr>
      <w:r>
        <w:rPr>
          <w:rFonts w:hint="eastAsia" w:ascii="仿宋_GB2312" w:hAnsi="Times New Roman" w:eastAsia="仿宋_GB2312" w:cs="Times New Roman"/>
          <w:bCs/>
          <w:color w:val="auto"/>
          <w:kern w:val="2"/>
          <w:sz w:val="32"/>
          <w:szCs w:val="32"/>
          <w:highlight w:val="none"/>
          <w:lang w:val="en-US" w:eastAsia="zh-CN" w:bidi="ar-SA"/>
        </w:rPr>
        <w:t>4.负责办理仲裁案件受理、仲裁文书送达、档案管理、开庭记录等程序性事务。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Times New Roman" w:eastAsia="仿宋_GB2312" w:cs="Times New Roman"/>
          <w:bCs/>
          <w:color w:val="auto"/>
          <w:kern w:val="2"/>
          <w:sz w:val="32"/>
          <w:szCs w:val="32"/>
          <w:highlight w:val="none"/>
          <w:lang w:val="en-US" w:eastAsia="zh-CN" w:bidi="ar-SA"/>
        </w:rPr>
      </w:pPr>
      <w:r>
        <w:rPr>
          <w:rFonts w:hint="eastAsia" w:ascii="仿宋_GB2312" w:hAnsi="Times New Roman" w:eastAsia="仿宋_GB2312" w:cs="Times New Roman"/>
          <w:bCs/>
          <w:color w:val="auto"/>
          <w:kern w:val="2"/>
          <w:sz w:val="32"/>
          <w:szCs w:val="32"/>
          <w:highlight w:val="none"/>
          <w:lang w:val="en-US" w:eastAsia="zh-CN" w:bidi="ar-SA"/>
        </w:rPr>
        <w:t>5.负责仲裁费用收取、使用和资产管理。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Times New Roman" w:eastAsia="仿宋_GB2312" w:cs="Times New Roman"/>
          <w:bCs/>
          <w:color w:val="auto"/>
          <w:kern w:val="2"/>
          <w:sz w:val="32"/>
          <w:szCs w:val="32"/>
          <w:highlight w:val="none"/>
          <w:lang w:val="en-US" w:eastAsia="zh-CN" w:bidi="ar-SA"/>
        </w:rPr>
      </w:pPr>
      <w:r>
        <w:rPr>
          <w:rFonts w:hint="eastAsia" w:ascii="仿宋_GB2312" w:hAnsi="Times New Roman" w:eastAsia="仿宋_GB2312" w:cs="Times New Roman"/>
          <w:bCs/>
          <w:color w:val="auto"/>
          <w:kern w:val="2"/>
          <w:sz w:val="32"/>
          <w:szCs w:val="32"/>
          <w:highlight w:val="none"/>
          <w:lang w:val="en-US" w:eastAsia="zh-CN" w:bidi="ar-SA"/>
        </w:rPr>
        <w:t>6.完成丽水仲裁委员会交办的其他任务。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Times New Roman" w:eastAsia="仿宋_GB2312" w:cs="Times New Roman"/>
          <w:bCs/>
          <w:color w:val="auto"/>
          <w:kern w:val="2"/>
          <w:sz w:val="32"/>
          <w:szCs w:val="32"/>
          <w:highlight w:val="none"/>
          <w:lang w:val="en-US" w:eastAsia="zh-CN" w:bidi="ar-SA"/>
        </w:rPr>
      </w:pPr>
      <w:r>
        <w:rPr>
          <w:rFonts w:hint="eastAsia" w:ascii="仿宋_GB2312" w:hAnsi="Times New Roman" w:eastAsia="仿宋_GB2312" w:cs="Times New Roman"/>
          <w:bCs/>
          <w:color w:val="auto"/>
          <w:kern w:val="2"/>
          <w:sz w:val="32"/>
          <w:szCs w:val="32"/>
          <w:highlight w:val="none"/>
          <w:lang w:val="en-US" w:eastAsia="zh-CN" w:bidi="ar-SA"/>
        </w:rPr>
        <w:t>7.完成市司法局交办的其他任务。</w:t>
      </w:r>
    </w:p>
    <w:p>
      <w:pPr>
        <w:spacing w:line="520" w:lineRule="exact"/>
        <w:ind w:firstLine="627" w:firstLineChars="196"/>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（二）单位机构设置情况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color w:val="auto"/>
          <w:highlight w:val="none"/>
        </w:rPr>
      </w:pPr>
      <w:r>
        <w:rPr>
          <w:rFonts w:hint="eastAsia" w:ascii="仿宋_GB2312" w:eastAsia="仿宋_GB2312"/>
          <w:bCs/>
          <w:color w:val="auto"/>
          <w:sz w:val="32"/>
          <w:szCs w:val="32"/>
          <w:highlight w:val="none"/>
        </w:rPr>
        <w:t>从预算单位构成看，丽水仲裁委员会秘书处</w:t>
      </w:r>
      <w:r>
        <w:rPr>
          <w:rFonts w:hint="eastAsia" w:ascii="仿宋_GB2312" w:eastAsia="仿宋_GB2312"/>
          <w:bCs/>
          <w:color w:val="auto"/>
          <w:sz w:val="32"/>
          <w:szCs w:val="32"/>
          <w:highlight w:val="none"/>
          <w:lang w:eastAsia="zh-CN"/>
        </w:rPr>
        <w:t>单位</w:t>
      </w:r>
      <w:r>
        <w:rPr>
          <w:rFonts w:hint="eastAsia" w:ascii="仿宋_GB2312" w:eastAsia="仿宋_GB2312"/>
          <w:bCs/>
          <w:color w:val="auto"/>
          <w:sz w:val="32"/>
          <w:szCs w:val="32"/>
          <w:highlight w:val="none"/>
        </w:rPr>
        <w:t>预算包括本级预算</w:t>
      </w:r>
      <w:r>
        <w:rPr>
          <w:rFonts w:hint="eastAsia" w:ascii="仿宋_GB2312" w:eastAsia="仿宋_GB2312"/>
          <w:bCs/>
          <w:color w:val="auto"/>
          <w:sz w:val="32"/>
          <w:szCs w:val="32"/>
          <w:highlight w:val="none"/>
          <w:lang w:eastAsia="zh-CN"/>
        </w:rPr>
        <w:t>，内部机构包括：行政（财务）部、受理部、审理部、金融调解中心、缙云分会、青田分会、松阳分会</w:t>
      </w:r>
      <w:r>
        <w:rPr>
          <w:rFonts w:hint="eastAsia" w:ascii="仿宋_GB2312" w:eastAsia="仿宋_GB2312"/>
          <w:bCs/>
          <w:color w:val="auto"/>
          <w:sz w:val="32"/>
          <w:szCs w:val="32"/>
          <w:highlight w:val="none"/>
        </w:rPr>
        <w:t>。</w:t>
      </w:r>
    </w:p>
    <w:p>
      <w:pPr>
        <w:spacing w:line="520" w:lineRule="exact"/>
        <w:ind w:firstLine="640" w:firstLineChars="200"/>
        <w:rPr>
          <w:rFonts w:ascii="楷体_GB2312" w:hAnsi="楷体_GB2312" w:eastAsia="楷体_GB2312" w:cs="楷体_GB2312"/>
          <w:color w:val="auto"/>
          <w:sz w:val="32"/>
          <w:szCs w:val="32"/>
          <w:highlight w:val="none"/>
        </w:rPr>
      </w:pPr>
      <w:r>
        <w:rPr>
          <w:rStyle w:val="10"/>
          <w:rFonts w:hint="eastAsia" w:ascii="黑体" w:eastAsia="黑体"/>
          <w:b w:val="0"/>
          <w:color w:val="auto"/>
          <w:sz w:val="32"/>
          <w:szCs w:val="32"/>
          <w:highlight w:val="none"/>
        </w:rPr>
        <w:t>二、2024年丽水仲裁委员会秘书处单位预算安排情况说明</w:t>
      </w:r>
      <w:r>
        <w:rPr>
          <w:rFonts w:hint="eastAsia"/>
          <w:color w:val="auto"/>
          <w:sz w:val="32"/>
          <w:szCs w:val="32"/>
          <w:highlight w:val="none"/>
        </w:rPr>
        <w:br w:type="textWrapping"/>
      </w:r>
      <w:r>
        <w:rPr>
          <w:rFonts w:hint="eastAsia" w:ascii="仿宋_GB2312" w:eastAsia="仿宋_GB2312"/>
          <w:b/>
          <w:bCs/>
          <w:color w:val="auto"/>
          <w:sz w:val="32"/>
          <w:szCs w:val="32"/>
          <w:highlight w:val="none"/>
        </w:rPr>
        <w:t>　　</w:t>
      </w:r>
      <w:r>
        <w:rPr>
          <w:rFonts w:hint="eastAsia" w:ascii="楷体_GB2312" w:hAnsi="楷体_GB2312" w:eastAsia="楷体_GB2312" w:cs="楷体_GB2312"/>
          <w:color w:val="auto"/>
          <w:sz w:val="32"/>
          <w:szCs w:val="32"/>
          <w:highlight w:val="none"/>
        </w:rPr>
        <w:t>（一）关于丽水仲裁委员会秘书处</w:t>
      </w:r>
      <w:r>
        <w:rPr>
          <w:rStyle w:val="10"/>
          <w:rFonts w:hint="eastAsia" w:ascii="楷体_GB2312" w:hAnsi="楷体_GB2312" w:eastAsia="楷体_GB2312" w:cs="楷体_GB2312"/>
          <w:b w:val="0"/>
          <w:bCs w:val="0"/>
          <w:color w:val="auto"/>
          <w:sz w:val="32"/>
          <w:szCs w:val="32"/>
          <w:highlight w:val="none"/>
        </w:rPr>
        <w:t>2024年收支预算情况的总体说明</w:t>
      </w:r>
    </w:p>
    <w:p>
      <w:pPr>
        <w:spacing w:line="520" w:lineRule="exact"/>
        <w:rPr>
          <w:rFonts w:ascii="楷体_GB2312" w:hAnsi="楷体_GB2312" w:eastAsia="楷体_GB2312" w:cs="楷体_GB2312"/>
          <w:b/>
          <w:color w:val="auto"/>
          <w:sz w:val="32"/>
          <w:szCs w:val="32"/>
          <w:highlight w:val="none"/>
        </w:rPr>
      </w:pPr>
      <w:r>
        <w:rPr>
          <w:rFonts w:hint="eastAsia" w:ascii="仿宋_GB2312" w:eastAsia="仿宋_GB2312"/>
          <w:bCs/>
          <w:color w:val="auto"/>
          <w:sz w:val="32"/>
          <w:szCs w:val="32"/>
          <w:highlight w:val="none"/>
        </w:rPr>
        <w:t xml:space="preserve">    按照综合预算的原则，丽水仲裁委员会秘书处</w:t>
      </w:r>
      <w:r>
        <w:rPr>
          <w:rFonts w:hint="eastAsia" w:ascii="仿宋_GB2312" w:eastAsia="仿宋_GB2312"/>
          <w:color w:val="auto"/>
          <w:sz w:val="32"/>
          <w:szCs w:val="32"/>
          <w:highlight w:val="none"/>
        </w:rPr>
        <w:t>所有收入和支出均纳入部门预算管理。收入包括：其他收入；支出包括：公共安全支出。丽水仲裁委员会秘书处2024年收支总预算2000万元。</w:t>
      </w:r>
    </w:p>
    <w:p>
      <w:pPr>
        <w:spacing w:line="520" w:lineRule="exact"/>
        <w:ind w:firstLine="642"/>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（二）关于丽水仲裁委员会秘书处2024年收入预算情况说明</w:t>
      </w:r>
    </w:p>
    <w:p>
      <w:pPr>
        <w:spacing w:line="520" w:lineRule="exact"/>
        <w:ind w:firstLine="642"/>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丽水仲裁委员会秘书处2024年收入预算2000万元，比上年执行数增加</w:t>
      </w:r>
      <w:r>
        <w:rPr>
          <w:rFonts w:hint="eastAsia" w:ascii="仿宋_GB2312" w:hAnsi="仿宋_GB2312" w:eastAsia="仿宋_GB2312" w:cs="仿宋_GB2312"/>
          <w:color w:val="auto"/>
          <w:sz w:val="32"/>
          <w:szCs w:val="32"/>
          <w:highlight w:val="none"/>
          <w:lang w:val="en-US" w:eastAsia="zh-CN"/>
        </w:rPr>
        <w:t>1300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highlight w:val="none"/>
        </w:rPr>
        <w:t>增</w:t>
      </w:r>
      <w:r>
        <w:rPr>
          <w:rFonts w:hint="eastAsia" w:ascii="仿宋_GB2312" w:hAnsi="仿宋_GB2312" w:eastAsia="仿宋_GB2312" w:cs="仿宋_GB2312"/>
          <w:color w:val="auto"/>
          <w:sz w:val="32"/>
          <w:szCs w:val="32"/>
          <w:highlight w:val="none"/>
        </w:rPr>
        <w:t>长</w:t>
      </w:r>
      <w:r>
        <w:rPr>
          <w:rFonts w:hint="eastAsia" w:ascii="仿宋_GB2312" w:hAnsi="仿宋_GB2312" w:eastAsia="仿宋_GB2312" w:cs="仿宋_GB2312"/>
          <w:color w:val="auto"/>
          <w:sz w:val="32"/>
          <w:highlight w:val="none"/>
          <w:lang w:val="en-US" w:eastAsia="zh-CN"/>
        </w:rPr>
        <w:t>185.71</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eastAsia="zh-CN"/>
        </w:rPr>
        <w:t>主要是拓展仲裁业务范围增加仲裁案件量</w:t>
      </w:r>
      <w:r>
        <w:rPr>
          <w:rFonts w:hint="eastAsia" w:ascii="仿宋_GB2312" w:hAnsi="仿宋_GB2312" w:eastAsia="仿宋_GB2312" w:cs="仿宋_GB2312"/>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auto"/>
          <w:sz w:val="32"/>
          <w:highlight w:val="none"/>
        </w:rPr>
      </w:pPr>
      <w:r>
        <w:rPr>
          <w:rFonts w:hint="eastAsia" w:ascii="仿宋_GB2312" w:eastAsia="仿宋_GB2312"/>
          <w:color w:val="auto"/>
          <w:sz w:val="32"/>
          <w:szCs w:val="32"/>
          <w:highlight w:val="none"/>
        </w:rPr>
        <w:t>其中：其他收入2000万元，占100%。</w:t>
      </w:r>
      <w:r>
        <w:rPr>
          <w:rFonts w:hint="eastAsia" w:ascii="仿宋_GB2312" w:eastAsia="仿宋_GB2312"/>
          <w:color w:val="auto"/>
          <w:sz w:val="32"/>
          <w:szCs w:val="32"/>
          <w:highlight w:val="none"/>
        </w:rPr>
        <w:br w:type="textWrapping"/>
      </w:r>
      <w:r>
        <w:rPr>
          <w:rFonts w:hint="eastAsia" w:ascii="楷体_GB2312" w:hAnsi="楷体_GB2312" w:eastAsia="楷体_GB2312" w:cs="楷体_GB2312"/>
          <w:bCs/>
          <w:color w:val="auto"/>
          <w:sz w:val="32"/>
          <w:szCs w:val="32"/>
          <w:highlight w:val="none"/>
        </w:rPr>
        <w:t>　　（三）关于丽水仲裁委员会秘书处2024年支出预算情况说明</w:t>
      </w:r>
      <w:r>
        <w:rPr>
          <w:rFonts w:hint="eastAsia" w:ascii="楷体_GB2312" w:hAnsi="楷体_GB2312" w:eastAsia="楷体_GB2312" w:cs="楷体_GB2312"/>
          <w:bCs/>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hAnsi="仿宋_GB2312" w:eastAsia="仿宋_GB2312" w:cs="仿宋_GB2312"/>
          <w:color w:val="auto"/>
          <w:sz w:val="32"/>
          <w:szCs w:val="32"/>
          <w:highlight w:val="none"/>
        </w:rPr>
        <w:t>　丽水仲裁委员会秘书处2024年支出预算2000万元，比上年执行数增加</w:t>
      </w:r>
      <w:r>
        <w:rPr>
          <w:rFonts w:hint="eastAsia" w:ascii="仿宋_GB2312" w:hAnsi="仿宋_GB2312" w:eastAsia="仿宋_GB2312" w:cs="仿宋_GB2312"/>
          <w:color w:val="auto"/>
          <w:sz w:val="32"/>
          <w:szCs w:val="32"/>
          <w:highlight w:val="none"/>
          <w:lang w:val="en-US" w:eastAsia="zh-CN"/>
        </w:rPr>
        <w:t>1300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highlight w:val="none"/>
        </w:rPr>
        <w:t>增长</w:t>
      </w:r>
      <w:r>
        <w:rPr>
          <w:rFonts w:hint="eastAsia" w:ascii="仿宋_GB2312" w:hAnsi="仿宋_GB2312" w:eastAsia="仿宋_GB2312" w:cs="仿宋_GB2312"/>
          <w:color w:val="auto"/>
          <w:sz w:val="32"/>
          <w:highlight w:val="none"/>
          <w:lang w:val="en-US" w:eastAsia="zh-CN"/>
        </w:rPr>
        <w:t>185.71</w:t>
      </w:r>
      <w:r>
        <w:rPr>
          <w:rFonts w:hint="eastAsia" w:ascii="仿宋_GB2312" w:hAnsi="仿宋_GB2312" w:eastAsia="仿宋_GB2312" w:cs="仿宋_GB2312"/>
          <w:color w:val="auto"/>
          <w:sz w:val="32"/>
          <w:highlight w:val="none"/>
        </w:rPr>
        <w:t>%，主要是</w:t>
      </w:r>
      <w:r>
        <w:rPr>
          <w:rFonts w:hint="eastAsia" w:ascii="仿宋_GB2312" w:hAnsi="仿宋_GB2312" w:eastAsia="仿宋_GB2312" w:cs="仿宋_GB2312"/>
          <w:color w:val="auto"/>
          <w:sz w:val="32"/>
          <w:highlight w:val="none"/>
          <w:lang w:val="en-US" w:eastAsia="zh-CN"/>
        </w:rPr>
        <w:t>1、</w:t>
      </w:r>
      <w:r>
        <w:rPr>
          <w:rFonts w:hint="eastAsia" w:ascii="仿宋_GB2312" w:hAnsi="仿宋_GB2312" w:eastAsia="仿宋_GB2312" w:cs="仿宋_GB2312"/>
          <w:color w:val="auto"/>
          <w:sz w:val="32"/>
          <w:highlight w:val="none"/>
        </w:rPr>
        <w:t>仲裁案件量增加导致办案成本相应增加。</w:t>
      </w:r>
      <w:r>
        <w:rPr>
          <w:rFonts w:hint="eastAsia" w:ascii="仿宋_GB2312" w:hAnsi="仿宋_GB2312" w:eastAsia="仿宋_GB2312" w:cs="仿宋_GB2312"/>
          <w:color w:val="auto"/>
          <w:sz w:val="32"/>
          <w:highlight w:val="none"/>
          <w:lang w:val="en-US" w:eastAsia="zh-CN"/>
        </w:rPr>
        <w:t>2、计划购置办公用房。</w:t>
      </w:r>
    </w:p>
    <w:p>
      <w:pPr>
        <w:spacing w:line="52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1.按支出功能分类，公共安全支出2000万元。</w:t>
      </w:r>
    </w:p>
    <w:p>
      <w:pPr>
        <w:spacing w:line="520" w:lineRule="exact"/>
        <w:ind w:firstLine="642"/>
        <w:rPr>
          <w:rFonts w:ascii="仿宋_GB2312" w:eastAsia="仿宋_GB2312"/>
          <w:color w:val="auto"/>
          <w:sz w:val="32"/>
          <w:szCs w:val="32"/>
          <w:highlight w:val="none"/>
        </w:rPr>
      </w:pPr>
      <w:r>
        <w:rPr>
          <w:rFonts w:hint="eastAsia" w:ascii="仿宋_GB2312" w:eastAsia="仿宋_GB2312"/>
          <w:color w:val="auto"/>
          <w:sz w:val="32"/>
          <w:szCs w:val="32"/>
          <w:highlight w:val="none"/>
        </w:rPr>
        <w:t>2.按支出用途分类，包括人员支出200万元，占10%；项目支出1800万元，占90%。</w:t>
      </w:r>
    </w:p>
    <w:p>
      <w:pPr>
        <w:spacing w:line="520" w:lineRule="exact"/>
        <w:ind w:firstLine="627" w:firstLineChars="196"/>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（四）关于丽水仲裁委员会秘书处2024年财政拨款收支预算情况的总体说明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丽水仲裁委员会秘书处无财政拨款安排的支出。</w:t>
      </w:r>
    </w:p>
    <w:p>
      <w:pPr>
        <w:numPr>
          <w:ilvl w:val="0"/>
          <w:numId w:val="1"/>
        </w:numPr>
        <w:spacing w:line="520" w:lineRule="exact"/>
        <w:ind w:firstLine="640"/>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关于丽水仲裁委员会秘书处2024年一般公共预算拨款情况说明</w:t>
      </w:r>
    </w:p>
    <w:p>
      <w:pPr>
        <w:spacing w:line="520" w:lineRule="exact"/>
        <w:ind w:firstLine="642"/>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1.一般公共预算拨款规模变化情况。</w:t>
      </w:r>
    </w:p>
    <w:p>
      <w:pPr>
        <w:spacing w:line="520" w:lineRule="exact"/>
        <w:ind w:firstLine="64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丽水仲裁委员会秘书处2024年一般公共预算拨款</w:t>
      </w:r>
      <w:r>
        <w:rPr>
          <w:rFonts w:hint="eastAsia" w:ascii="仿宋_GB2312" w:hAnsi="仿宋_GB2312" w:eastAsia="仿宋_GB2312" w:cs="仿宋_GB2312"/>
          <w:bCs/>
          <w:color w:val="auto"/>
          <w:sz w:val="32"/>
          <w:szCs w:val="32"/>
          <w:highlight w:val="none"/>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，与上年执行数持平。</w:t>
      </w:r>
    </w:p>
    <w:p>
      <w:pPr>
        <w:spacing w:line="520" w:lineRule="exact"/>
        <w:ind w:firstLine="642"/>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2.一般公共预算拨款结构情况。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丽水仲裁委员会秘书处无一般公共预算当年拨款。</w:t>
      </w:r>
    </w:p>
    <w:p>
      <w:pPr>
        <w:spacing w:line="520" w:lineRule="exact"/>
        <w:ind w:firstLine="642"/>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3.一般公共预算拨款具体使用情况。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丽水仲裁委员会秘书处无一般公共预算当年拨款。</w:t>
      </w:r>
    </w:p>
    <w:p>
      <w:pPr>
        <w:spacing w:line="520" w:lineRule="exac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 xml:space="preserve">    （六）关于丽水仲裁委员会秘书处2024年一般公共预算基本支出情况说明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丽水仲裁委员会秘书处无一般公共预算当年拨款。</w:t>
      </w:r>
    </w:p>
    <w:p>
      <w:pPr>
        <w:spacing w:line="520" w:lineRule="exact"/>
        <w:ind w:firstLine="642"/>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（七）关于丽水仲裁委员会秘书处2024年政府性基金预算支出情况说明</w:t>
      </w:r>
    </w:p>
    <w:p>
      <w:pPr>
        <w:spacing w:line="520" w:lineRule="exact"/>
        <w:ind w:left="0" w:leftChars="0" w:firstLine="640" w:firstLineChars="200"/>
        <w:rPr>
          <w:rFonts w:hint="eastAsia" w:eastAsia="仿宋_GB2312"/>
          <w:color w:val="auto"/>
          <w:highlight w:val="none"/>
          <w:lang w:eastAsia="zh-CN"/>
        </w:rPr>
      </w:pPr>
      <w:r>
        <w:rPr>
          <w:rFonts w:hint="eastAsia" w:ascii="仿宋_GB2312" w:hAnsi="仿宋_GB2312" w:eastAsia="仿宋_GB2312" w:cs="仿宋_GB2312"/>
          <w:color w:val="auto"/>
          <w:sz w:val="32"/>
          <w:szCs w:val="32"/>
          <w:highlight w:val="none"/>
        </w:rPr>
        <w:t>丽水仲裁委员会秘书处2024年没有使用政府性基金预算拨款安排的支出</w:t>
      </w:r>
      <w:r>
        <w:rPr>
          <w:rFonts w:hint="eastAsia" w:ascii="仿宋_GB2312" w:eastAsia="仿宋_GB2312"/>
          <w:color w:val="auto"/>
          <w:sz w:val="32"/>
          <w:szCs w:val="32"/>
          <w:highlight w:val="none"/>
        </w:rPr>
        <w:t>，与上年持平</w:t>
      </w:r>
      <w:r>
        <w:rPr>
          <w:rFonts w:hint="eastAsia" w:ascii="仿宋_GB2312" w:eastAsia="仿宋_GB2312"/>
          <w:color w:val="auto"/>
          <w:sz w:val="32"/>
          <w:szCs w:val="32"/>
          <w:highlight w:val="none"/>
          <w:lang w:eastAsia="zh-CN"/>
        </w:rPr>
        <w:t>。</w:t>
      </w:r>
    </w:p>
    <w:p>
      <w:pPr>
        <w:spacing w:line="520" w:lineRule="exact"/>
        <w:ind w:firstLine="627" w:firstLineChars="196"/>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（八）关于</w:t>
      </w:r>
      <w:r>
        <w:rPr>
          <w:rFonts w:ascii="楷体_GB2312" w:hAnsi="楷体_GB2312" w:eastAsia="楷体_GB2312" w:cs="楷体_GB2312"/>
          <w:bCs/>
          <w:color w:val="auto"/>
          <w:sz w:val="32"/>
          <w:szCs w:val="32"/>
          <w:highlight w:val="none"/>
        </w:rPr>
        <w:t>丽水仲裁委员会秘书处2024</w:t>
      </w:r>
      <w:r>
        <w:rPr>
          <w:rFonts w:hint="eastAsia" w:ascii="楷体_GB2312" w:hAnsi="楷体_GB2312" w:eastAsia="楷体_GB2312" w:cs="楷体_GB2312"/>
          <w:bCs/>
          <w:color w:val="auto"/>
          <w:sz w:val="32"/>
          <w:szCs w:val="32"/>
          <w:highlight w:val="none"/>
        </w:rPr>
        <w:t>年国有资本经营预算支出情况说明</w:t>
      </w:r>
    </w:p>
    <w:p>
      <w:pPr>
        <w:spacing w:line="520" w:lineRule="exact"/>
        <w:ind w:firstLine="640" w:firstLineChars="200"/>
        <w:rPr>
          <w:rFonts w:hint="eastAsia" w:eastAsia="仿宋_GB2312"/>
          <w:b/>
          <w:color w:val="auto"/>
          <w:sz w:val="20"/>
          <w:highlight w:val="none"/>
          <w:lang w:eastAsia="zh-CN"/>
        </w:rPr>
      </w:pPr>
      <w:r>
        <w:rPr>
          <w:rFonts w:hint="eastAsia" w:ascii="仿宋_GB2312" w:hAnsi="仿宋_GB2312" w:eastAsia="仿宋_GB2312" w:cs="仿宋_GB2312"/>
          <w:color w:val="auto"/>
          <w:sz w:val="32"/>
          <w:szCs w:val="32"/>
          <w:highlight w:val="none"/>
        </w:rPr>
        <w:t>丽水仲裁委员会秘书处2024年没有使用国有资本经营预算拨款安排的支出，与上年持平</w:t>
      </w:r>
      <w:r>
        <w:rPr>
          <w:rFonts w:hint="eastAsia" w:ascii="仿宋_GB2312" w:hAnsi="仿宋_GB2312" w:eastAsia="仿宋_GB2312" w:cs="仿宋_GB2312"/>
          <w:color w:val="auto"/>
          <w:sz w:val="32"/>
          <w:szCs w:val="32"/>
          <w:highlight w:val="none"/>
          <w:lang w:eastAsia="zh-CN"/>
        </w:rPr>
        <w:t>。</w:t>
      </w:r>
    </w:p>
    <w:p>
      <w:pPr>
        <w:spacing w:line="520" w:lineRule="exact"/>
        <w:ind w:firstLine="627" w:firstLineChars="196"/>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（九）关于丽水仲裁委员会秘书处2024年一般公共预算“三公”经费预算情况说明</w:t>
      </w:r>
    </w:p>
    <w:p>
      <w:pPr>
        <w:spacing w:line="520" w:lineRule="exact"/>
        <w:ind w:firstLine="640" w:firstLineChars="200"/>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rPr>
        <w:t>丽水仲裁委员会秘书处202</w:t>
      </w:r>
      <w:r>
        <w:rPr>
          <w:rFonts w:hint="eastAsia" w:ascii="仿宋_GB2312" w:hAnsi="仿宋_GB2312" w:eastAsia="仿宋_GB2312"/>
          <w:color w:val="auto"/>
          <w:sz w:val="32"/>
          <w:highlight w:val="none"/>
          <w:lang w:val="en-US" w:eastAsia="zh-CN"/>
        </w:rPr>
        <w:t>4</w:t>
      </w:r>
      <w:r>
        <w:rPr>
          <w:rFonts w:hint="eastAsia" w:ascii="仿宋_GB2312" w:hAnsi="仿宋_GB2312" w:eastAsia="仿宋_GB2312"/>
          <w:color w:val="auto"/>
          <w:sz w:val="32"/>
          <w:highlight w:val="none"/>
        </w:rPr>
        <w:t>年“三公”经费预算数为0万元，与上年执行数持平，具体如下：</w:t>
      </w:r>
    </w:p>
    <w:p>
      <w:pPr>
        <w:spacing w:line="52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1.因公出国（境）费用：</w:t>
      </w:r>
      <w:r>
        <w:rPr>
          <w:rFonts w:hint="eastAsia" w:ascii="仿宋_GB2312" w:hAnsi="仿宋_GB2312" w:eastAsia="仿宋_GB2312" w:cs="仿宋_GB2312"/>
          <w:color w:val="auto"/>
          <w:sz w:val="32"/>
          <w:szCs w:val="32"/>
          <w:highlight w:val="none"/>
        </w:rPr>
        <w:t>根据因公出国计划和实际工作需要，2024年安排因公出国（境）费用预算0万元</w:t>
      </w:r>
      <w:r>
        <w:rPr>
          <w:rFonts w:hint="eastAsia" w:ascii="仿宋_GB2312" w:hAnsi="仿宋_GB2312" w:eastAsia="仿宋_GB2312" w:cs="仿宋_GB2312"/>
          <w:b w:val="0"/>
          <w:bCs w:val="0"/>
          <w:color w:val="auto"/>
          <w:kern w:val="2"/>
          <w:sz w:val="32"/>
          <w:szCs w:val="32"/>
          <w:highlight w:val="none"/>
          <w:lang w:val="en-US" w:eastAsia="zh-CN" w:bidi="ar-SA"/>
        </w:rPr>
        <w:t>，与上年预算数持平。</w:t>
      </w:r>
      <w:r>
        <w:rPr>
          <w:rFonts w:hint="eastAsia" w:ascii="仿宋_GB2312" w:hAnsi="仿宋" w:eastAsia="仿宋_GB2312"/>
          <w:color w:val="auto"/>
          <w:sz w:val="32"/>
          <w:szCs w:val="32"/>
          <w:highlight w:val="none"/>
        </w:rPr>
        <w:t>主要原因是：</w:t>
      </w:r>
      <w:r>
        <w:rPr>
          <w:rFonts w:hint="eastAsia" w:ascii="仿宋_GB2312" w:hAnsi="仿宋" w:eastAsia="仿宋_GB2312"/>
          <w:color w:val="auto"/>
          <w:sz w:val="32"/>
          <w:szCs w:val="32"/>
          <w:highlight w:val="none"/>
          <w:lang w:eastAsia="zh-CN"/>
        </w:rPr>
        <w:t>2024年</w:t>
      </w:r>
      <w:r>
        <w:rPr>
          <w:rFonts w:hint="eastAsia" w:ascii="仿宋_GB2312" w:hAnsi="仿宋" w:eastAsia="仿宋_GB2312"/>
          <w:color w:val="auto"/>
          <w:sz w:val="32"/>
          <w:szCs w:val="32"/>
          <w:highlight w:val="none"/>
        </w:rPr>
        <w:t>因公出国（境）预算由财政统留管理，未编列到年初部门预算中。</w:t>
      </w:r>
      <w:r>
        <w:rPr>
          <w:rFonts w:hint="eastAsia" w:ascii="仿宋_GB2312" w:hAnsi="仿宋" w:eastAsia="仿宋_GB2312"/>
          <w:color w:val="auto"/>
          <w:sz w:val="32"/>
          <w:szCs w:val="32"/>
          <w:highlight w:val="none"/>
          <w:lang w:eastAsia="zh-CN"/>
        </w:rPr>
        <w:t>根据市外办安排的因公出国计划和实际工作需要，</w:t>
      </w:r>
      <w:r>
        <w:rPr>
          <w:rFonts w:hint="eastAsia" w:ascii="仿宋_GB2312" w:hAnsi="仿宋" w:eastAsia="仿宋_GB2312"/>
          <w:color w:val="auto"/>
          <w:sz w:val="32"/>
          <w:szCs w:val="32"/>
          <w:highlight w:val="none"/>
        </w:rPr>
        <w:t>经批准同意因公出国（境）的，所需</w:t>
      </w:r>
      <w:r>
        <w:rPr>
          <w:rFonts w:hint="eastAsia" w:ascii="仿宋_GB2312" w:hAnsi="仿宋" w:eastAsia="仿宋_GB2312"/>
          <w:color w:val="auto"/>
          <w:sz w:val="32"/>
          <w:szCs w:val="32"/>
          <w:highlight w:val="none"/>
          <w:lang w:eastAsia="zh-CN"/>
        </w:rPr>
        <w:t>指标</w:t>
      </w:r>
      <w:r>
        <w:rPr>
          <w:rFonts w:hint="eastAsia" w:ascii="仿宋_GB2312" w:hAnsi="仿宋" w:eastAsia="仿宋_GB2312"/>
          <w:color w:val="auto"/>
          <w:sz w:val="32"/>
          <w:szCs w:val="32"/>
          <w:highlight w:val="none"/>
        </w:rPr>
        <w:t>由财</w:t>
      </w:r>
      <w:r>
        <w:rPr>
          <w:rFonts w:hint="eastAsia" w:ascii="仿宋_GB2312" w:hAnsi="仿宋" w:eastAsia="仿宋_GB2312"/>
          <w:color w:val="auto"/>
          <w:sz w:val="32"/>
          <w:szCs w:val="32"/>
          <w:highlight w:val="none"/>
          <w:lang w:eastAsia="zh-CN"/>
        </w:rPr>
        <w:t>政按实追加。因公出国（境）费用</w:t>
      </w:r>
      <w:r>
        <w:rPr>
          <w:rFonts w:hint="eastAsia" w:ascii="仿宋_GB2312" w:hAnsi="仿宋" w:eastAsia="仿宋_GB2312"/>
          <w:color w:val="auto"/>
          <w:sz w:val="32"/>
          <w:szCs w:val="32"/>
          <w:highlight w:val="none"/>
          <w:lang w:val="en-US" w:eastAsia="zh-CN"/>
        </w:rPr>
        <w:t>主要用于</w:t>
      </w:r>
      <w:r>
        <w:rPr>
          <w:rFonts w:hint="eastAsia" w:ascii="仿宋_GB2312" w:hAnsi="仿宋" w:eastAsia="仿宋_GB2312"/>
          <w:color w:val="auto"/>
          <w:sz w:val="32"/>
          <w:szCs w:val="32"/>
          <w:highlight w:val="none"/>
          <w:lang w:eastAsia="zh-CN"/>
        </w:rPr>
        <w:t>机关及下属预算单位人员的公务出国（境）的国际旅费、国外城市间交通费、住宿费、伙食费、培训费、公杂费等支出。</w:t>
      </w:r>
      <w:r>
        <w:rPr>
          <w:rFonts w:hint="eastAsia" w:ascii="仿宋_GB2312" w:hAnsi="仿宋" w:eastAsia="仿宋_GB2312"/>
          <w:color w:val="auto"/>
          <w:sz w:val="32"/>
          <w:szCs w:val="32"/>
          <w:highlight w:val="none"/>
          <w:lang w:val="en-US" w:eastAsia="zh-CN"/>
        </w:rPr>
        <w:t>”</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2.公务接待费：2024年安排公务接待费预算0万元</w:t>
      </w:r>
      <w:r>
        <w:rPr>
          <w:rFonts w:hint="eastAsia" w:ascii="仿宋_GB2312" w:hAnsi="仿宋_GB2312" w:eastAsia="仿宋_GB2312" w:cs="仿宋_GB2312"/>
          <w:b w:val="0"/>
          <w:bCs w:val="0"/>
          <w:color w:val="auto"/>
          <w:kern w:val="2"/>
          <w:sz w:val="32"/>
          <w:szCs w:val="32"/>
          <w:highlight w:val="none"/>
          <w:lang w:val="en-US" w:eastAsia="zh-CN" w:bidi="ar-SA"/>
        </w:rPr>
        <w:t>，与上年执行数持平，</w:t>
      </w:r>
      <w:r>
        <w:rPr>
          <w:rFonts w:hint="eastAsia" w:ascii="仿宋_GB2312" w:hAnsi="仿宋_GB2312" w:eastAsia="仿宋_GB2312" w:cs="仿宋_GB2312"/>
          <w:color w:val="auto"/>
          <w:sz w:val="32"/>
          <w:szCs w:val="32"/>
        </w:rPr>
        <w:t>主要用于接待上级人员来访等支出。</w:t>
      </w:r>
    </w:p>
    <w:p>
      <w:pPr>
        <w:pStyle w:val="15"/>
        <w:spacing w:line="520" w:lineRule="exact"/>
        <w:ind w:firstLine="640" w:firstLineChars="200"/>
        <w:rPr>
          <w:rFonts w:ascii="仿宋_GB2312" w:eastAsia="仿宋_GB2312"/>
          <w:b/>
          <w:bCs/>
          <w:sz w:val="32"/>
          <w:szCs w:val="32"/>
        </w:rPr>
      </w:pPr>
      <w:r>
        <w:rPr>
          <w:rFonts w:hint="eastAsia" w:ascii="仿宋_GB2312" w:eastAsia="仿宋_GB2312"/>
          <w:color w:val="auto"/>
          <w:sz w:val="32"/>
          <w:szCs w:val="32"/>
          <w:highlight w:val="none"/>
        </w:rPr>
        <w:t>3.</w:t>
      </w:r>
      <w:r>
        <w:rPr>
          <w:rFonts w:hint="eastAsia" w:ascii="仿宋_GB2312" w:eastAsia="仿宋_GB2312"/>
          <w:sz w:val="32"/>
          <w:szCs w:val="32"/>
        </w:rPr>
        <w:t>公务用车购置及运行维护费：2024年安排公务用车购置及运行维护费预算0.00万元，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val="en-US" w:eastAsia="zh-CN"/>
        </w:rPr>
        <w:t>预算</w:t>
      </w:r>
      <w:r>
        <w:rPr>
          <w:rFonts w:hint="eastAsia" w:ascii="仿宋_GB2312" w:hAnsi="仿宋_GB2312" w:eastAsia="仿宋_GB2312" w:cs="仿宋_GB2312"/>
          <w:sz w:val="32"/>
          <w:szCs w:val="32"/>
          <w:highlight w:val="none"/>
          <w:lang w:eastAsia="zh-CN"/>
        </w:rPr>
        <w:t>数持平</w:t>
      </w:r>
      <w:r>
        <w:rPr>
          <w:rFonts w:hint="eastAsia" w:ascii="仿宋_GB2312" w:eastAsia="仿宋_GB2312"/>
          <w:sz w:val="32"/>
          <w:szCs w:val="32"/>
        </w:rPr>
        <w:t>。</w:t>
      </w:r>
      <w:r>
        <w:rPr>
          <w:rFonts w:hint="eastAsia" w:ascii="仿宋_GB2312" w:eastAsia="仿宋_GB2312"/>
          <w:sz w:val="32"/>
          <w:szCs w:val="32"/>
          <w:highlight w:val="none"/>
        </w:rPr>
        <w:t>其中，公务用车购置支出0.00万元（含购置税等附加费用），主要用于经批准购置的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val="en-US" w:eastAsia="zh-CN"/>
        </w:rPr>
        <w:t>预算</w:t>
      </w:r>
      <w:r>
        <w:rPr>
          <w:rFonts w:hint="eastAsia" w:ascii="仿宋_GB2312" w:hAnsi="仿宋_GB2312" w:eastAsia="仿宋_GB2312" w:cs="仿宋_GB2312"/>
          <w:sz w:val="32"/>
          <w:szCs w:val="32"/>
          <w:highlight w:val="none"/>
          <w:lang w:eastAsia="zh-CN"/>
        </w:rPr>
        <w:t>数持平</w:t>
      </w:r>
      <w:r>
        <w:rPr>
          <w:rFonts w:hint="eastAsia" w:ascii="仿宋_GB2312" w:eastAsia="仿宋_GB2312"/>
          <w:sz w:val="32"/>
          <w:szCs w:val="32"/>
          <w:highlight w:val="none"/>
        </w:rPr>
        <w:t>；公务用车运行维护费支出0.00万元，主要用于公务用车燃料费、维修费、过桥过路费、保险费、安全奖励费用等支出。</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val="en-US" w:eastAsia="zh-CN"/>
        </w:rPr>
        <w:t>预算</w:t>
      </w:r>
      <w:r>
        <w:rPr>
          <w:rFonts w:hint="eastAsia" w:ascii="仿宋_GB2312" w:hAnsi="仿宋_GB2312" w:eastAsia="仿宋_GB2312" w:cs="仿宋_GB2312"/>
          <w:sz w:val="32"/>
          <w:szCs w:val="32"/>
          <w:highlight w:val="none"/>
          <w:lang w:eastAsia="zh-CN"/>
        </w:rPr>
        <w:t>数持平</w:t>
      </w:r>
      <w:r>
        <w:rPr>
          <w:rFonts w:hint="eastAsia" w:ascii="仿宋_GB2312" w:eastAsia="仿宋_GB2312"/>
          <w:sz w:val="32"/>
          <w:szCs w:val="32"/>
          <w:highlight w:val="none"/>
        </w:rPr>
        <w:t>。</w:t>
      </w:r>
    </w:p>
    <w:p>
      <w:pPr>
        <w:spacing w:line="520" w:lineRule="exact"/>
        <w:ind w:firstLine="627" w:firstLineChars="196"/>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（十）其他重要事项的情况说明</w:t>
      </w:r>
    </w:p>
    <w:p>
      <w:pPr>
        <w:pStyle w:val="15"/>
        <w:spacing w:line="520" w:lineRule="exact"/>
        <w:ind w:firstLine="643" w:firstLineChars="200"/>
        <w:rPr>
          <w:rFonts w:ascii="仿宋_GB2312" w:eastAsia="仿宋_GB2312"/>
          <w:b/>
          <w:bCs/>
          <w:color w:val="auto"/>
          <w:sz w:val="32"/>
          <w:szCs w:val="32"/>
          <w:highlight w:val="none"/>
        </w:rPr>
      </w:pPr>
      <w:r>
        <w:rPr>
          <w:rFonts w:hint="eastAsia" w:ascii="仿宋_GB2312" w:hAnsi="仿宋_GB2312" w:eastAsia="仿宋_GB2312" w:cs="仿宋_GB2312"/>
          <w:b/>
          <w:color w:val="auto"/>
          <w:sz w:val="32"/>
          <w:szCs w:val="32"/>
          <w:highlight w:val="none"/>
        </w:rPr>
        <w:t>1.</w:t>
      </w:r>
      <w:r>
        <w:rPr>
          <w:rFonts w:hint="eastAsia" w:ascii="仿宋_GB2312" w:eastAsia="仿宋_GB2312"/>
          <w:b/>
          <w:bCs/>
          <w:color w:val="auto"/>
          <w:sz w:val="32"/>
          <w:szCs w:val="32"/>
          <w:highlight w:val="none"/>
        </w:rPr>
        <w:t>政府采购情况。</w:t>
      </w:r>
    </w:p>
    <w:p>
      <w:pPr>
        <w:pStyle w:val="15"/>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2024年丽水仲裁委员会秘书处各单位政府采购预算总额</w:t>
      </w:r>
      <w:r>
        <w:rPr>
          <w:rFonts w:ascii="仿宋_GB2312" w:eastAsia="仿宋_GB2312"/>
          <w:color w:val="auto"/>
          <w:sz w:val="32"/>
          <w:szCs w:val="32"/>
          <w:highlight w:val="none"/>
        </w:rPr>
        <w:t>85</w:t>
      </w:r>
      <w:r>
        <w:rPr>
          <w:rFonts w:hint="eastAsia" w:ascii="仿宋_GB2312" w:eastAsia="仿宋_GB2312"/>
          <w:color w:val="auto"/>
          <w:sz w:val="32"/>
          <w:szCs w:val="32"/>
          <w:highlight w:val="none"/>
        </w:rPr>
        <w:t>万元，其中：政府采购货物预算85万元、政府采购工程预算0万元、政府采购服务预算</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万元。</w:t>
      </w:r>
    </w:p>
    <w:p>
      <w:pPr>
        <w:pStyle w:val="15"/>
        <w:spacing w:line="520" w:lineRule="exact"/>
        <w:ind w:firstLine="642"/>
        <w:rPr>
          <w:rFonts w:ascii="仿宋_GB2312" w:eastAsia="仿宋_GB2312"/>
          <w:color w:val="auto"/>
          <w:sz w:val="32"/>
          <w:szCs w:val="32"/>
          <w:highlight w:val="none"/>
        </w:rPr>
      </w:pPr>
      <w:r>
        <w:rPr>
          <w:rFonts w:hint="eastAsia" w:ascii="仿宋_GB2312" w:eastAsia="仿宋_GB2312"/>
          <w:b/>
          <w:bCs/>
          <w:color w:val="auto"/>
          <w:sz w:val="32"/>
          <w:szCs w:val="32"/>
          <w:highlight w:val="none"/>
          <w:lang w:val="en-US" w:eastAsia="zh-CN"/>
        </w:rPr>
        <w:t>2</w:t>
      </w:r>
      <w:r>
        <w:rPr>
          <w:rFonts w:hint="eastAsia" w:ascii="仿宋_GB2312" w:eastAsia="仿宋_GB2312"/>
          <w:b/>
          <w:bCs/>
          <w:color w:val="auto"/>
          <w:sz w:val="32"/>
          <w:szCs w:val="32"/>
          <w:highlight w:val="none"/>
        </w:rPr>
        <w:t>.国有资产占有使用情况。</w:t>
      </w:r>
    </w:p>
    <w:p>
      <w:pPr>
        <w:spacing w:line="52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6"/>
          <w:sz w:val="32"/>
          <w:szCs w:val="32"/>
          <w:highlight w:val="none"/>
        </w:rPr>
        <w:t>截至2023年12月31日，预算单位共有车辆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辆，其中，应急保障用车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辆、老干部服务用车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辆、行政执法专用车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u w:val="none"/>
          <w:lang w:val="en-US" w:eastAsia="zh-CN"/>
        </w:rPr>
        <w:t>其他用车1辆。</w:t>
      </w:r>
      <w:r>
        <w:rPr>
          <w:rFonts w:hint="eastAsia" w:ascii="仿宋_GB2312" w:hAnsi="仿宋_GB2312" w:eastAsia="仿宋_GB2312" w:cs="仿宋_GB2312"/>
          <w:color w:val="auto"/>
          <w:sz w:val="32"/>
          <w:szCs w:val="32"/>
          <w:highlight w:val="none"/>
        </w:rPr>
        <w:t>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bookmarkStart w:id="0" w:name="_GoBack"/>
      <w:bookmarkEnd w:id="0"/>
      <w:r>
        <w:rPr>
          <w:rFonts w:hint="eastAsia" w:ascii="仿宋_GB2312" w:hAnsi="仿宋_GB2312" w:eastAsia="仿宋_GB2312" w:cs="仿宋_GB2312"/>
          <w:color w:val="auto"/>
          <w:sz w:val="32"/>
          <w:szCs w:val="32"/>
          <w:highlight w:val="none"/>
        </w:rPr>
        <w:t xml:space="preserve">套）。 </w:t>
      </w:r>
    </w:p>
    <w:p>
      <w:pPr>
        <w:spacing w:line="52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2024年部门预算安排购置车辆</w:t>
      </w:r>
      <w:r>
        <w:rPr>
          <w:rFonts w:hint="eastAsia" w:ascii="仿宋_GB2312" w:hAnsi="仿宋_GB2312" w:eastAsia="仿宋_GB2312" w:cs="仿宋_GB2312"/>
          <w:color w:val="auto"/>
          <w:sz w:val="32"/>
          <w:szCs w:val="32"/>
          <w:highlight w:val="none"/>
          <w:lang w:val="en-US" w:eastAsia="zh-CN"/>
        </w:rPr>
        <w:t>0</w:t>
      </w:r>
      <w:r>
        <w:rPr>
          <w:rFonts w:ascii="仿宋_GB2312" w:hAnsi="仿宋_GB2312" w:eastAsia="仿宋_GB2312" w:cs="仿宋_GB2312"/>
          <w:color w:val="auto"/>
          <w:sz w:val="32"/>
          <w:szCs w:val="32"/>
          <w:highlight w:val="none"/>
        </w:rPr>
        <w:t>辆，其中，应急保障用车</w:t>
      </w:r>
      <w:r>
        <w:rPr>
          <w:rFonts w:hint="eastAsia" w:ascii="仿宋_GB2312" w:hAnsi="仿宋_GB2312" w:eastAsia="仿宋_GB2312" w:cs="仿宋_GB2312"/>
          <w:color w:val="auto"/>
          <w:sz w:val="32"/>
          <w:szCs w:val="32"/>
          <w:highlight w:val="none"/>
          <w:lang w:val="en-US" w:eastAsia="zh-CN"/>
        </w:rPr>
        <w:t>0</w:t>
      </w:r>
      <w:r>
        <w:rPr>
          <w:rFonts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ascii="仿宋_GB2312" w:hAnsi="仿宋_GB2312" w:eastAsia="仿宋_GB2312" w:cs="仿宋_GB2312"/>
          <w:color w:val="auto"/>
          <w:sz w:val="32"/>
          <w:szCs w:val="32"/>
          <w:highlight w:val="none"/>
        </w:rPr>
        <w:t>辆、老干部服务用车</w:t>
      </w:r>
      <w:r>
        <w:rPr>
          <w:rFonts w:hint="eastAsia" w:ascii="仿宋_GB2312" w:hAnsi="仿宋_GB2312" w:eastAsia="仿宋_GB2312" w:cs="仿宋_GB2312"/>
          <w:color w:val="auto"/>
          <w:sz w:val="32"/>
          <w:szCs w:val="32"/>
          <w:highlight w:val="none"/>
          <w:lang w:val="en-US" w:eastAsia="zh-CN"/>
        </w:rPr>
        <w:t>0</w:t>
      </w:r>
      <w:r>
        <w:rPr>
          <w:rFonts w:ascii="仿宋_GB2312" w:hAnsi="仿宋_GB2312" w:eastAsia="仿宋_GB2312" w:cs="仿宋_GB2312"/>
          <w:color w:val="auto"/>
          <w:sz w:val="32"/>
          <w:szCs w:val="32"/>
          <w:highlight w:val="none"/>
        </w:rPr>
        <w:t>辆、行政执法专用车</w:t>
      </w:r>
      <w:r>
        <w:rPr>
          <w:rFonts w:hint="eastAsia" w:ascii="仿宋_GB2312" w:hAnsi="仿宋_GB2312" w:eastAsia="仿宋_GB2312" w:cs="仿宋_GB2312"/>
          <w:color w:val="auto"/>
          <w:sz w:val="32"/>
          <w:szCs w:val="32"/>
          <w:highlight w:val="none"/>
          <w:lang w:val="en-US" w:eastAsia="zh-CN"/>
        </w:rPr>
        <w:t>0</w:t>
      </w:r>
      <w:r>
        <w:rPr>
          <w:rFonts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pacing w:val="6"/>
          <w:sz w:val="32"/>
          <w:szCs w:val="32"/>
          <w:highlight w:val="none"/>
          <w:u w:val="none"/>
          <w:lang w:val="en-US" w:eastAsia="zh-CN"/>
        </w:rPr>
        <w:t>。</w:t>
      </w:r>
      <w:r>
        <w:rPr>
          <w:rFonts w:ascii="仿宋_GB2312" w:hAnsi="仿宋_GB2312" w:eastAsia="仿宋_GB2312" w:cs="仿宋_GB2312"/>
          <w:color w:val="auto"/>
          <w:sz w:val="32"/>
          <w:szCs w:val="32"/>
          <w:highlight w:val="none"/>
        </w:rPr>
        <w:t>2024年部门预算安排购置单位价值50万元以上通用设备</w:t>
      </w:r>
      <w:r>
        <w:rPr>
          <w:rFonts w:hint="eastAsia" w:ascii="仿宋_GB2312" w:hAnsi="仿宋_GB2312" w:eastAsia="仿宋_GB2312" w:cs="仿宋_GB2312"/>
          <w:color w:val="auto"/>
          <w:sz w:val="32"/>
          <w:szCs w:val="32"/>
          <w:highlight w:val="none"/>
          <w:lang w:val="en-US" w:eastAsia="zh-CN"/>
        </w:rPr>
        <w:t>0</w:t>
      </w:r>
      <w:r>
        <w:rPr>
          <w:rFonts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ascii="仿宋_GB2312" w:hAnsi="仿宋_GB2312" w:eastAsia="仿宋_GB2312" w:cs="仿宋_GB2312"/>
          <w:color w:val="auto"/>
          <w:sz w:val="32"/>
          <w:szCs w:val="32"/>
          <w:highlight w:val="none"/>
        </w:rPr>
        <w:t>台（套）。</w:t>
      </w:r>
    </w:p>
    <w:p>
      <w:pPr>
        <w:pStyle w:val="15"/>
        <w:spacing w:line="520" w:lineRule="exact"/>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 xml:space="preserve">    </w:t>
      </w:r>
      <w:r>
        <w:rPr>
          <w:rFonts w:hint="eastAsia" w:ascii="仿宋_GB2312" w:eastAsia="仿宋_GB2312"/>
          <w:b/>
          <w:bCs/>
          <w:color w:val="auto"/>
          <w:sz w:val="32"/>
          <w:szCs w:val="32"/>
          <w:highlight w:val="none"/>
          <w:lang w:val="en-US" w:eastAsia="zh-CN"/>
        </w:rPr>
        <w:t>3</w:t>
      </w:r>
      <w:r>
        <w:rPr>
          <w:rFonts w:hint="eastAsia" w:ascii="仿宋_GB2312" w:eastAsia="仿宋_GB2312"/>
          <w:b/>
          <w:bCs/>
          <w:color w:val="auto"/>
          <w:sz w:val="32"/>
          <w:szCs w:val="32"/>
          <w:highlight w:val="none"/>
        </w:rPr>
        <w:t>.预算绩效情况说明。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2024年丽水仲裁委员会秘书处其他运转类项目和特定目标类项目均实行绩效目标管理，共计2个一级项目，涉及当年资金1800万元。同时，将按照相关制度规定开展绩效自评。一级项目绩效目标表，详见“</w:t>
      </w:r>
      <w:r>
        <w:rPr>
          <w:rFonts w:hint="eastAsia" w:ascii="仿宋_GB2312" w:hAnsi="仿宋_GB2312" w:eastAsia="仿宋_GB2312" w:cs="仿宋_GB2312"/>
          <w:color w:val="auto"/>
          <w:sz w:val="32"/>
          <w:szCs w:val="32"/>
          <w:highlight w:val="none"/>
        </w:rPr>
        <w:t>单位</w:t>
      </w:r>
      <w:r>
        <w:rPr>
          <w:rFonts w:ascii="仿宋_GB2312" w:hAnsi="仿宋_GB2312" w:eastAsia="仿宋_GB2312" w:cs="仿宋_GB2312"/>
          <w:color w:val="auto"/>
          <w:sz w:val="32"/>
          <w:szCs w:val="32"/>
          <w:highlight w:val="none"/>
        </w:rPr>
        <w:t>项目支出绩效表”</w:t>
      </w:r>
      <w:r>
        <w:rPr>
          <w:rFonts w:hint="eastAsia" w:ascii="仿宋_GB2312" w:hAnsi="仿宋_GB2312" w:eastAsia="仿宋_GB2312" w:cs="仿宋_GB2312"/>
          <w:color w:val="auto"/>
          <w:sz w:val="32"/>
          <w:szCs w:val="32"/>
          <w:highlight w:val="none"/>
        </w:rPr>
        <w:t>。</w:t>
      </w:r>
    </w:p>
    <w:p>
      <w:pPr>
        <w:pStyle w:val="15"/>
        <w:spacing w:line="520" w:lineRule="exact"/>
        <w:ind w:firstLine="640" w:firstLineChars="200"/>
        <w:rPr>
          <w:rFonts w:ascii="黑体" w:hAnsi="黑体" w:eastAsia="黑体" w:cs="黑体"/>
          <w:bCs/>
          <w:color w:val="auto"/>
          <w:kern w:val="2"/>
          <w:sz w:val="32"/>
          <w:szCs w:val="32"/>
          <w:highlight w:val="none"/>
        </w:rPr>
      </w:pPr>
      <w:r>
        <w:rPr>
          <w:rFonts w:hint="eastAsia" w:ascii="黑体" w:hAnsi="黑体" w:eastAsia="黑体" w:cs="黑体"/>
          <w:bCs/>
          <w:color w:val="auto"/>
          <w:kern w:val="2"/>
          <w:sz w:val="32"/>
          <w:szCs w:val="32"/>
          <w:highlight w:val="none"/>
        </w:rPr>
        <w:t>三、名词解释</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1.财政拨款收入：本级财政部门当年拨付的财政预算资金，包括一般公共预算财政拨款</w:t>
      </w:r>
      <w:r>
        <w:rPr>
          <w:rFonts w:hint="eastAsia" w:asci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rPr>
        <w:t>政府性基金预算和国有资本经营预算财政拨款。</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2.财政专户管理资金:教育收费作为本部门的事业收入，纳入财政专户管理的资金。</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3.事业收入：事业单位开展专业业务活动及辅助活动所取得的收入，不含财政专户管理资金收入。</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其他收入：预算单位在“一般公共预算”“政府性基金预算”“国有资本经营预算”“财政专户管理资金”“事业收入”“事业单位经营收入”“上级补助收入”和“附属单位上缴收入”等之外取得的各项收入。</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6.上年结转：指以前年度尚未完成、结转到本年仍按原规定用途继续使用的资金。</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w:t>
      </w:r>
      <w:r>
        <w:rPr>
          <w:rFonts w:hint="eastAsia" w:ascii="仿宋_GB2312" w:hAnsi="仿宋_GB2312" w:eastAsia="仿宋_GB2312" w:cs="仿宋_GB2312"/>
          <w:color w:val="auto"/>
          <w:sz w:val="32"/>
          <w:szCs w:val="32"/>
          <w:highlight w:val="none"/>
        </w:rPr>
        <w:t>费以及其他费用。</w:t>
      </w:r>
    </w:p>
    <w:p>
      <w:pPr>
        <w:rPr>
          <w:rFonts w:hint="default" w:eastAsia="宋体"/>
          <w:color w:val="auto"/>
          <w:highlight w:val="none"/>
          <w:lang w:val="en-US" w:eastAsia="zh-CN"/>
        </w:rPr>
      </w:pPr>
      <w:r>
        <w:rPr>
          <w:rFonts w:hint="eastAsia"/>
          <w:color w:val="auto"/>
          <w:highlight w:val="none"/>
          <w:lang w:val="en-US" w:eastAsia="zh-CN"/>
        </w:rPr>
        <w:t xml:space="preserve">      </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rPr>
        <w:t>公共安全（类）司法（款）其他司法支出（项）：反映司法行政部门发生的人民调解经费、开发区刑释解教人员安置帮教经费、社区矫正经费、法</w:t>
      </w:r>
      <w:r>
        <w:rPr>
          <w:rFonts w:hint="eastAsia" w:ascii="仿宋_GB2312" w:eastAsia="仿宋_GB2312"/>
          <w:color w:val="auto"/>
          <w:sz w:val="32"/>
          <w:szCs w:val="32"/>
        </w:rPr>
        <w:t>律援助</w:t>
      </w:r>
      <w:r>
        <w:rPr>
          <w:rFonts w:hint="eastAsia" w:ascii="仿宋_GB2312" w:hAnsi="仿宋_GB2312" w:eastAsia="仿宋_GB2312" w:cs="仿宋_GB2312"/>
          <w:color w:val="auto"/>
          <w:sz w:val="32"/>
          <w:szCs w:val="32"/>
        </w:rPr>
        <w:t>等支出。</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91D11"/>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654246"/>
    <w:rsid w:val="0BD448F3"/>
    <w:rsid w:val="0C7B7749"/>
    <w:rsid w:val="0CE2397A"/>
    <w:rsid w:val="0CEE5818"/>
    <w:rsid w:val="0DDF3EA9"/>
    <w:rsid w:val="0F0A0BC6"/>
    <w:rsid w:val="0F216C64"/>
    <w:rsid w:val="0F3E23E2"/>
    <w:rsid w:val="0F5C4EB1"/>
    <w:rsid w:val="0F760C96"/>
    <w:rsid w:val="0F8B51E9"/>
    <w:rsid w:val="106B2554"/>
    <w:rsid w:val="1085571C"/>
    <w:rsid w:val="12970A77"/>
    <w:rsid w:val="12D300E7"/>
    <w:rsid w:val="136B79EF"/>
    <w:rsid w:val="13811EEE"/>
    <w:rsid w:val="13FF3975"/>
    <w:rsid w:val="14861683"/>
    <w:rsid w:val="14887B46"/>
    <w:rsid w:val="14EF3497"/>
    <w:rsid w:val="153C45B3"/>
    <w:rsid w:val="157947AC"/>
    <w:rsid w:val="15DB09EF"/>
    <w:rsid w:val="1650535C"/>
    <w:rsid w:val="16B75B8F"/>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4952F9"/>
    <w:rsid w:val="34F20284"/>
    <w:rsid w:val="3619346A"/>
    <w:rsid w:val="366152C5"/>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3EA5305D"/>
    <w:rsid w:val="400943B7"/>
    <w:rsid w:val="40143523"/>
    <w:rsid w:val="406B2735"/>
    <w:rsid w:val="4171469C"/>
    <w:rsid w:val="42C454C8"/>
    <w:rsid w:val="43482ADF"/>
    <w:rsid w:val="43497E11"/>
    <w:rsid w:val="438C52D1"/>
    <w:rsid w:val="43AF1DC7"/>
    <w:rsid w:val="442360D8"/>
    <w:rsid w:val="450B3104"/>
    <w:rsid w:val="45374F70"/>
    <w:rsid w:val="45926CB7"/>
    <w:rsid w:val="45A32D85"/>
    <w:rsid w:val="45E922E2"/>
    <w:rsid w:val="46181B9F"/>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D2017"/>
    <w:rsid w:val="4EF60C54"/>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2A4B54"/>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99E198E"/>
    <w:rsid w:val="6AD23ACD"/>
    <w:rsid w:val="6AE706B2"/>
    <w:rsid w:val="6B103823"/>
    <w:rsid w:val="6B315A81"/>
    <w:rsid w:val="6B447924"/>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8A0B69"/>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paragraph" w:customStyle="1" w:styleId="11">
    <w:name w:val="Char"/>
    <w:basedOn w:val="1"/>
    <w:qFormat/>
    <w:uiPriority w:val="0"/>
    <w:rPr>
      <w:rFonts w:ascii="宋体" w:hAnsi="宋体" w:cs="Courier New"/>
      <w:sz w:val="32"/>
      <w:szCs w:val="32"/>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paragraph" w:customStyle="1" w:styleId="14">
    <w:name w:val="[Normal]"/>
    <w:qFormat/>
    <w:uiPriority w:val="0"/>
    <w:rPr>
      <w:rFonts w:ascii="宋体" w:hAnsi="宋体" w:eastAsia="宋体" w:cs="Times New Roman"/>
      <w:sz w:val="24"/>
      <w:lang w:val="zh-CN" w:eastAsia="zh-CN" w:bidi="ar-SA"/>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17</TotalTime>
  <ScaleCrop>false</ScaleCrop>
  <LinksUpToDate>false</LinksUpToDate>
  <CharactersWithSpaces>27070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2024-04-03T03:29:34Z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EDOID">
    <vt:r8>5838458</vt:r8>
  </property>
  <property fmtid="{D5CDD505-2E9C-101B-9397-08002B2CF9AE}" pid="4" name="ICV">
    <vt:lpwstr>E7E435903E954F16B3A6550F30CE4D1E</vt:lpwstr>
  </property>
</Properties>
</file>